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diagnostic criteria for Hypermobile EDS (</w:t>
      </w:r>
      <w:proofErr w:type="spellStart"/>
      <w:r>
        <w:rPr>
          <w:rFonts w:ascii="Arial" w:hAnsi="Arial" w:cs="Arial"/>
          <w:sz w:val="20"/>
          <w:szCs w:val="20"/>
        </w:rPr>
        <w:t>hEDS</w:t>
      </w:r>
      <w:proofErr w:type="spellEnd"/>
      <w:r>
        <w:rPr>
          <w:rFonts w:ascii="Arial" w:hAnsi="Arial" w:cs="Arial"/>
          <w:sz w:val="20"/>
          <w:szCs w:val="20"/>
        </w:rPr>
        <w:t>) (</w:t>
      </w:r>
      <w:proofErr w:type="spellStart"/>
      <w:r>
        <w:rPr>
          <w:rFonts w:ascii="Arial" w:hAnsi="Arial" w:cs="Arial"/>
          <w:sz w:val="20"/>
          <w:szCs w:val="20"/>
        </w:rPr>
        <w:t>Malfait</w:t>
      </w:r>
      <w:proofErr w:type="spellEnd"/>
      <w:r>
        <w:rPr>
          <w:rFonts w:ascii="Arial" w:hAnsi="Arial" w:cs="Arial"/>
          <w:sz w:val="20"/>
          <w:szCs w:val="20"/>
        </w:rPr>
        <w:t xml:space="preserve"> et al, 2017)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Autosomal dominant; molecular basis unknown; Diagnosis remains clinical and requires presence of criteria 1, and 2 and 3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Criteria 1 Generalised joint </w:t>
      </w:r>
      <w:proofErr w:type="gramStart"/>
      <w:r>
        <w:rPr>
          <w:rFonts w:ascii="Arial" w:hAnsi="Arial" w:cs="Arial"/>
          <w:sz w:val="20"/>
          <w:szCs w:val="20"/>
        </w:rPr>
        <w:t>hypermobility 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Beighton</w:t>
      </w:r>
      <w:proofErr w:type="spellEnd"/>
      <w:r>
        <w:rPr>
          <w:rFonts w:ascii="Arial" w:hAnsi="Arial" w:cs="Arial"/>
          <w:sz w:val="20"/>
          <w:szCs w:val="20"/>
        </w:rPr>
        <w:t xml:space="preserve"> score 5/9, may need adjustment for age, as score decreases with age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6 in pre-pubertal and adolescents, 5 from puberty to age 50, 4 in over 50.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Criteria 2 Two of the following, A, B and C: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A;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systemic manifestations of a more generalized connective tissue disorder (a total of five must be present)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Unusually soft or velvety skin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Mild skin </w:t>
      </w:r>
      <w:proofErr w:type="spellStart"/>
      <w:r>
        <w:rPr>
          <w:rFonts w:ascii="Arial" w:hAnsi="Arial" w:cs="Arial"/>
          <w:sz w:val="20"/>
          <w:szCs w:val="20"/>
        </w:rPr>
        <w:t>hyperextensibility</w:t>
      </w:r>
      <w:proofErr w:type="spellEnd"/>
      <w:r>
        <w:rPr>
          <w:rFonts w:ascii="Arial" w:hAnsi="Arial" w:cs="Arial"/>
          <w:sz w:val="20"/>
          <w:szCs w:val="20"/>
        </w:rPr>
        <w:t xml:space="preserve"> (&gt;1.5cm)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Unexplained </w:t>
      </w:r>
      <w:proofErr w:type="spellStart"/>
      <w:r>
        <w:rPr>
          <w:rFonts w:ascii="Arial" w:hAnsi="Arial" w:cs="Arial"/>
          <w:sz w:val="20"/>
          <w:szCs w:val="20"/>
        </w:rPr>
        <w:t>striae</w:t>
      </w:r>
      <w:proofErr w:type="spellEnd"/>
      <w:r>
        <w:rPr>
          <w:rFonts w:ascii="Arial" w:hAnsi="Arial" w:cs="Arial"/>
          <w:sz w:val="20"/>
          <w:szCs w:val="20"/>
        </w:rPr>
        <w:t xml:space="preserve"> such as </w:t>
      </w:r>
      <w:proofErr w:type="spellStart"/>
      <w:r>
        <w:rPr>
          <w:rFonts w:ascii="Arial" w:hAnsi="Arial" w:cs="Arial"/>
          <w:sz w:val="20"/>
          <w:szCs w:val="20"/>
        </w:rPr>
        <w:t>striae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distensae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rubrae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atthe</w:t>
      </w:r>
      <w:proofErr w:type="spellEnd"/>
      <w:r>
        <w:rPr>
          <w:rFonts w:ascii="Arial" w:hAnsi="Arial" w:cs="Arial"/>
          <w:sz w:val="20"/>
          <w:szCs w:val="20"/>
        </w:rPr>
        <w:t xml:space="preserve"> back, groins, thighs, breasts and/or abdomen in adolescents, men or </w:t>
      </w:r>
      <w:proofErr w:type="spellStart"/>
      <w:r>
        <w:rPr>
          <w:rFonts w:ascii="Arial" w:hAnsi="Arial" w:cs="Arial"/>
          <w:sz w:val="20"/>
          <w:szCs w:val="20"/>
        </w:rPr>
        <w:t>prepubertal</w:t>
      </w:r>
      <w:proofErr w:type="spellEnd"/>
      <w:r>
        <w:rPr>
          <w:rFonts w:ascii="Arial" w:hAnsi="Arial" w:cs="Arial"/>
          <w:sz w:val="20"/>
          <w:szCs w:val="20"/>
        </w:rPr>
        <w:t xml:space="preserve"> women without a history of significant gain or loss of body fat or weight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Bilateral </w:t>
      </w:r>
      <w:proofErr w:type="spellStart"/>
      <w:r>
        <w:rPr>
          <w:rFonts w:ascii="Arial" w:hAnsi="Arial" w:cs="Arial"/>
          <w:sz w:val="20"/>
          <w:szCs w:val="20"/>
        </w:rPr>
        <w:t>piezogenic</w:t>
      </w:r>
      <w:proofErr w:type="spellEnd"/>
      <w:r>
        <w:rPr>
          <w:rFonts w:ascii="Arial" w:hAnsi="Arial" w:cs="Arial"/>
          <w:sz w:val="20"/>
          <w:szCs w:val="20"/>
        </w:rPr>
        <w:t xml:space="preserve"> papules of the heel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Recurrent or multiple abdominal hernia(s) (e.g., umbilical, inguinal, </w:t>
      </w:r>
      <w:proofErr w:type="spellStart"/>
      <w:r>
        <w:rPr>
          <w:rFonts w:ascii="Arial" w:hAnsi="Arial" w:cs="Arial"/>
          <w:sz w:val="20"/>
          <w:szCs w:val="20"/>
        </w:rPr>
        <w:t>crural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Atrophic scarring involving at least two sites and without the formation of truly </w:t>
      </w:r>
      <w:proofErr w:type="spellStart"/>
      <w:r>
        <w:rPr>
          <w:rFonts w:ascii="Arial" w:hAnsi="Arial" w:cs="Arial"/>
          <w:sz w:val="20"/>
          <w:szCs w:val="20"/>
        </w:rPr>
        <w:t>papyraceous</w:t>
      </w:r>
      <w:proofErr w:type="spellEnd"/>
      <w:r>
        <w:rPr>
          <w:rFonts w:ascii="Arial" w:hAnsi="Arial" w:cs="Arial"/>
          <w:sz w:val="20"/>
          <w:szCs w:val="20"/>
        </w:rPr>
        <w:t xml:space="preserve"> and/or </w:t>
      </w:r>
      <w:proofErr w:type="spellStart"/>
      <w:r>
        <w:rPr>
          <w:rFonts w:ascii="Arial" w:hAnsi="Arial" w:cs="Arial"/>
          <w:sz w:val="20"/>
          <w:szCs w:val="20"/>
        </w:rPr>
        <w:t>hemosideric</w:t>
      </w:r>
      <w:proofErr w:type="spellEnd"/>
      <w:r>
        <w:rPr>
          <w:rFonts w:ascii="Arial" w:hAnsi="Arial" w:cs="Arial"/>
          <w:sz w:val="20"/>
          <w:szCs w:val="20"/>
        </w:rPr>
        <w:t xml:space="preserve"> scars as seen in classical EDS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Pelvic floor, rectal, and/or uterine prolapse in children, men or nulliparous women without a history of morbid obesity or other known predisposing medical condition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Dental crowding and high or narrow palate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Arachnodactyly</w:t>
      </w:r>
      <w:proofErr w:type="spellEnd"/>
      <w:r>
        <w:rPr>
          <w:rFonts w:ascii="Arial" w:hAnsi="Arial" w:cs="Arial"/>
          <w:sz w:val="20"/>
          <w:szCs w:val="20"/>
        </w:rPr>
        <w:t>, as defined in one or more of the following: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positive wrist sign (Steinberg sign) on both sides; (ii) positive thumb sign (Walker sign) on both sides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Arm span-to-height 1.05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Mitral valve prolapse (MVP) mild or greater based on strict echocardiographic criteria </w:t>
      </w:r>
    </w:p>
    <w:p w:rsidR="004B2324" w:rsidRDefault="004B2324" w:rsidP="004B23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Aortic root dilatation with Z-score &gt; þ2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NB</w:t>
      </w:r>
      <w:proofErr w:type="gramStart"/>
      <w:r>
        <w:rPr>
          <w:rFonts w:ascii="Arial" w:hAnsi="Arial" w:cs="Arial"/>
          <w:i/>
          <w:sz w:val="20"/>
          <w:szCs w:val="20"/>
        </w:rPr>
        <w:t>;,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if </w:t>
      </w:r>
      <w:proofErr w:type="spellStart"/>
      <w:r>
        <w:rPr>
          <w:rFonts w:ascii="Arial" w:hAnsi="Arial" w:cs="Arial"/>
          <w:i/>
          <w:sz w:val="20"/>
          <w:szCs w:val="20"/>
        </w:rPr>
        <w:t>Marfanoid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features, present, must exclude conditions such as: </w:t>
      </w:r>
      <w:proofErr w:type="spellStart"/>
      <w:r>
        <w:rPr>
          <w:rFonts w:ascii="Arial" w:hAnsi="Arial" w:cs="Arial"/>
          <w:i/>
          <w:sz w:val="20"/>
          <w:szCs w:val="20"/>
        </w:rPr>
        <w:t>Marfan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syndrome, </w:t>
      </w:r>
      <w:proofErr w:type="spellStart"/>
      <w:r>
        <w:rPr>
          <w:rFonts w:ascii="Arial" w:hAnsi="Arial" w:cs="Arial"/>
          <w:i/>
          <w:sz w:val="20"/>
          <w:szCs w:val="20"/>
        </w:rPr>
        <w:t>Loeys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–Dietz syndrome, congenital </w:t>
      </w:r>
      <w:proofErr w:type="spellStart"/>
      <w:r>
        <w:rPr>
          <w:rFonts w:ascii="Arial" w:hAnsi="Arial" w:cs="Arial"/>
          <w:i/>
          <w:sz w:val="20"/>
          <w:szCs w:val="20"/>
        </w:rPr>
        <w:t>contractural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arachnodactyly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Shprintzen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–Goldberg syndrome, Stickler syndrome, </w:t>
      </w:r>
      <w:proofErr w:type="spellStart"/>
      <w:r>
        <w:rPr>
          <w:rFonts w:ascii="Arial" w:hAnsi="Arial" w:cs="Arial"/>
          <w:i/>
          <w:sz w:val="20"/>
          <w:szCs w:val="20"/>
        </w:rPr>
        <w:t>Homocystinuria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multiple endocrine </w:t>
      </w:r>
      <w:proofErr w:type="spellStart"/>
      <w:r>
        <w:rPr>
          <w:rFonts w:ascii="Arial" w:hAnsi="Arial" w:cs="Arial"/>
          <w:i/>
          <w:sz w:val="20"/>
          <w:szCs w:val="20"/>
        </w:rPr>
        <w:t>neoplasia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type 2B, and the familial thoracic aortic aneurysmal disorders</w:t>
      </w:r>
    </w:p>
    <w:p w:rsidR="004B2324" w:rsidRDefault="004B2324" w:rsidP="004B2324">
      <w:pPr>
        <w:rPr>
          <w:rFonts w:ascii="Arial" w:hAnsi="Arial" w:cs="Arial"/>
          <w:i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B; positive family history, with one or more affected relatives 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C;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musculoskeletal complications (must have at least one): </w:t>
      </w:r>
    </w:p>
    <w:p w:rsidR="004B2324" w:rsidRDefault="004B2324" w:rsidP="004B232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1.Musculoskeletal pain in two or more limbs, recurring daily for at least 3 months </w:t>
      </w:r>
    </w:p>
    <w:p w:rsidR="004B2324" w:rsidRDefault="004B2324" w:rsidP="004B232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Chronic, widespread pain for 3 months </w:t>
      </w:r>
    </w:p>
    <w:p w:rsidR="004B2324" w:rsidRDefault="004B2324" w:rsidP="004B232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Recurrent joint dislocations or frank joint instability, in the absence of trauma </w:t>
      </w:r>
    </w:p>
    <w:p w:rsidR="004B2324" w:rsidRDefault="004B2324" w:rsidP="004B232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Three or more </w:t>
      </w:r>
      <w:proofErr w:type="spellStart"/>
      <w:r>
        <w:rPr>
          <w:rFonts w:ascii="Arial" w:hAnsi="Arial" w:cs="Arial"/>
          <w:sz w:val="20"/>
          <w:szCs w:val="20"/>
        </w:rPr>
        <w:t>atraumatic</w:t>
      </w:r>
      <w:proofErr w:type="spellEnd"/>
      <w:r>
        <w:rPr>
          <w:rFonts w:ascii="Arial" w:hAnsi="Arial" w:cs="Arial"/>
          <w:sz w:val="20"/>
          <w:szCs w:val="20"/>
        </w:rPr>
        <w:t xml:space="preserve"> dislocations in the same joint or two or more </w:t>
      </w:r>
      <w:proofErr w:type="spellStart"/>
      <w:r>
        <w:rPr>
          <w:rFonts w:ascii="Arial" w:hAnsi="Arial" w:cs="Arial"/>
          <w:sz w:val="20"/>
          <w:szCs w:val="20"/>
        </w:rPr>
        <w:t>atraumatic</w:t>
      </w:r>
      <w:proofErr w:type="spellEnd"/>
      <w:r>
        <w:rPr>
          <w:rFonts w:ascii="Arial" w:hAnsi="Arial" w:cs="Arial"/>
          <w:sz w:val="20"/>
          <w:szCs w:val="20"/>
        </w:rPr>
        <w:t xml:space="preserve"> dislocations in two different joints occurring at different times </w:t>
      </w:r>
    </w:p>
    <w:p w:rsidR="004B2324" w:rsidRDefault="004B2324" w:rsidP="004B232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Medical confirmation of joint instability at two or more sites not related to trauma</w:t>
      </w: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</w:p>
    <w:p w:rsidR="004B2324" w:rsidRDefault="004B2324" w:rsidP="004B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Criteria 3;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All the Following Prerequisites MUST Be Met </w:t>
      </w:r>
    </w:p>
    <w:p w:rsidR="004B2324" w:rsidRDefault="004B2324" w:rsidP="004B23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1.Absence of unusual skin fragility, which should prompt consideration of other types of EDS </w:t>
      </w:r>
    </w:p>
    <w:p w:rsidR="00FF68E4" w:rsidRPr="004B2324" w:rsidRDefault="004B2324" w:rsidP="004B23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Exclusion of other heritable and acquired connective tissue disorders, including autoimmune rheum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atologic conditions.</w:t>
      </w:r>
    </w:p>
    <w:sectPr w:rsidR="00FF68E4" w:rsidRPr="004B2324" w:rsidSect="00A45CA0">
      <w:pgSz w:w="11906" w:h="16838"/>
      <w:pgMar w:top="1588" w:right="96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810"/>
    <w:multiLevelType w:val="hybridMultilevel"/>
    <w:tmpl w:val="3036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213"/>
    <w:multiLevelType w:val="hybridMultilevel"/>
    <w:tmpl w:val="59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29FE"/>
    <w:multiLevelType w:val="hybridMultilevel"/>
    <w:tmpl w:val="4F90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1"/>
    <w:rsid w:val="004B2324"/>
    <w:rsid w:val="009C5986"/>
    <w:rsid w:val="00A45CA0"/>
    <w:rsid w:val="00D820F1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F1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F1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2017-07-17T11:56:00Z</cp:lastPrinted>
  <dcterms:created xsi:type="dcterms:W3CDTF">2017-07-12T14:43:00Z</dcterms:created>
  <dcterms:modified xsi:type="dcterms:W3CDTF">2017-07-17T11:56:00Z</dcterms:modified>
</cp:coreProperties>
</file>